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07:56 МСК · База обновлена: 22.07.2026, 20:22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68 лет, обратилась к участковому врачу-терапевту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ощущение «тяжести» в области сердца, возникающее при быстрой ходьбе или подъеме по лестнице более 2 пролетов и проходящее после 5-минутного отдыха.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Ощущение «тяжести» в области сердца появилось полгода назад, к врачу не обращалась, не обследовалась. Около 15 лет отмечает подъемы АД максимально до 175/105 мм рт.ст., в поликлинике по месту жительства был поставлен диагноз Гипертоническая болезнь, назначено лечение, однако, пациентка постоянную антигипертензивную терапию не принимала, при подъемах АД использует капотен под язык.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хронические заболевания отрицает</w:t>
        <w:br/>
        <w:t>*</w:t>
        <w:tab/>
        <w:t>не курит, алкоголем не злоупотребляет</w:t>
        <w:br/>
        <w:t>*</w:t>
        <w:tab/>
        <w:t>профессиональных вредностей не имела</w:t>
        <w:br/>
        <w:t>*</w:t>
        <w:tab/>
        <w:t>аллергических реакций не было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165 см, масса тела 75 кг. Кожные покровы обычной окраски и влажности. Периферических отеков нет. Грудная клетка при пальпации безболезненна, при перкуссии – звук ясный, легочный. При аускультации - дыхание везикулярное, хрипов нет. ЧДД 18 в 1 мин. Границы сердца: правая – по правому краю грудины, левая – по левой среднеключичной линии, верхняя – по верхнему краю III ребра. Тоны сердца ясные, ритмичные. ЧСС 84 в 1 мин, АД 175/105 мм рт. ст. Живот мягкий, безболезненный. Печень не увеличена, пальпируется по краю реберной дуги. Почки не пальпируются, симптом поколачивания – отрицательный. Дизурии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Так как с указанными жалобами пациентка обратилась к врачу впервые, на приеме необходимо провести оценку симптомов и определить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расчетную предтестовую вероятность (ПТВ)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абсолютный сердечно-сосудистый риск по шкале 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ближайший и отдаленный прогноз по шкале TIMI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риск неблагоприятных событий по шкале GRACE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расчетную предтестовую вероятность (ПТВ)</w:t>
      </w:r>
    </w:p>
    <w:p>
      <w:pPr>
        <w:ind w:left="504"/>
      </w:pPr>
      <w:r>
        <w:rPr>
          <w:b w:val="0"/>
          <w:i/>
        </w:rPr>
        <w:t>Оценка предтестовой вероятности (ПТВ) рекомендована всем пациентам с подозрением на ИБС при первичном обращении к врачу для определения вероятности наличия ИБС. После оценки симптомов на первом визите врач определяет расчетную ПТВ ИБС. ПТВ - показатель вероятности наличия ИБС у пациента, который базируется на оценке характера боли в грудной клетке, возраста и пола</w:t>
        <w:br/>
        <w:t>ПТВ ИБС считается очень низкой при значении &lt;5%  В этом случае диагноз ИБС может быть исключен после первичного обследования. ПТВ ИБС &gt;15% является умеренной и требует проведения не только первичного обследования, но и дополнительных специфических методов диагностики ИБС. ПТВ ИБС 5–15% в целом обеспечивает хороший прогноз, но при наличии дополнительных клинических факторов, повышающих вероятность ИБС, или явных симптомов, после проведения первичного обследования может потребовать выполнения дополнительного специфического обследования.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обследования для установления диагноза пациентке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амбулаторное (суточное)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нагрузочная проба под визуальным контролем (стресс-ЭхоКГ)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трансторакальное эхокардиографическое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амбулаторное (суточное) мониторирование АД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чреспищеводное эхокардиографическое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регистрация ЭКГ в 12 отведениях; 3 — нагрузочная проба под визуальным контролем (стресс-ЭхоКГ); 4 — трансторакальное эхокардиографическое исследование</w:t>
      </w:r>
    </w:p>
    <w:p>
      <w:pPr>
        <w:ind w:left="504"/>
      </w:pPr>
      <w:r>
        <w:rPr>
          <w:b w:val="0"/>
          <w:i/>
        </w:rPr>
        <w:t>Регистрация 12-канальной ЭКГ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покое, а также возможного наличия зубца Q, сопутствующих нарушений ритма и проводимости сердца.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пациентки ПТВ ИБС – 16%, при ПТВ &gt;15% наиболее эффективно проведение визуализирующих тестов.</w:t>
        <w:br/>
        <w:br/>
        <w:t>Один из неинвазивных методов визуализирующих стресс-методов - ЭхоКГ с физической нагрузкой, или с ЧПЭС, или с фармакологической нагрузкой рекомендуется в качестве первого специфического метода для диагностики ИБС у пациентов с более высокой ПТВ ИБС (&gt;15%)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 рекомендована всем пациентам с подозрением на ИБС для: 1) исключения других причин боли в грудной клетке; 2) выявления нарушений локальной сократимости (НЛС) левого желудочка; 3) измерения фракции выброса (ФВ) ЛЖ; 4) оценки диастолической функции ЛЖ; 5) выявления патологии клапанного аппарата сердца.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Необходимыми лабораторными методами обследования для установления диагноза пациентке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высокочувствительного тропонина 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тиреоидных гормонов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липидного спектра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калия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исследование липидного спектра крови; 5 — определение уровня креатинина в крови; 6 — клинический анализ крови</w:t>
      </w:r>
    </w:p>
    <w:p>
      <w:pPr>
        <w:ind w:left="504"/>
      </w:pPr>
      <w:r>
        <w:rPr>
          <w:b w:val="0"/>
          <w:i/>
        </w:rPr>
        <w:t>Всем пациентам с ИБС или подозрением на нее рекомендуется провести анализ крови для оценки нарушений липидного обмена, с целью выявления фактора риска и, при необходимости, коррекции терапии.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для определения возможности назначения некоторых лекарственных средств, а также коррекции их доз рекомендуется провести исследование уровня креатинина в крови и оценить состояние функции почек по расчетной скорости клубочковой фильтрации (СКФ) или клиренсу креатинина (КК).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при первичном обращении рекомендуется проводить общий (клинический) анализ крови развернутый с исследованием уровня гемоглобина, эритроцитов и лейкоцитов в крови для исключения возможных сопутствующих заболеваний, а также вторичного характера возникновения стенокардии.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исследовании липидного спектра наиболее высокую прогностическую значимость для пациентки имеет оценка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холестерина липопротеидов низкой 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холестерина липопротеидов высокой 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триглицеридов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холестерина не  липопротеидов высокой плотности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холестерина не  липопротеидов высокой плотности</w:t>
      </w:r>
    </w:p>
    <w:p>
      <w:pPr>
        <w:ind w:left="504"/>
      </w:pPr>
      <w:r>
        <w:rPr>
          <w:b w:val="0"/>
          <w:i/>
        </w:rPr>
        <w:t>У пациентки уровень ТГ 2,6 ммоль/л (N&lt;1,7). Дислипопротеидемия - нарушение соотношения основных классов липидов в плазме - ведущий ФР атеросклероза. Проатерогенными считаются липопротеиды низкой плотности и очень низкой плотности, тогда как липопротеиды высокой плотности являются антиатерогенным фактором. В силу того, что прямое измерение ХcЛНП имеет ограничения, особенно при метаболическом синдроме, сахарном диабете, гипертриглицеридемии, целесообразно использовать показатель Хс не-ЛВП, который у этой категории пациентов имеет более высокий уровень прогностической значимости, по сравнению с ЛНП, и может быть вторичной целью терапии. Уровень Хс не-ЛВП рассчитывается по формуле: Хс не-ЛВП= ОХС - ЛВП. Целевые уровни Хс не-ЛВП составляют &lt;2,2 и &lt;2,6 ммоль/л для лиц с очень высоким и высоким риском, соответственно плотности - неблагоприятный прогностический фактор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жалоб, данных анамнеза, осмотра, лабораторных и инструментальных методов обследования основным диагнозом у пациентки является: ИБС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стенокардия II 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нестабильная вазоспастическая стенокардия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впервые возникшая стенокардия II 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ишемическая кардиомиопатия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стенокардия II ФК</w:t>
      </w:r>
    </w:p>
    <w:p>
      <w:pPr>
        <w:ind w:left="504"/>
      </w:pPr>
      <w:r>
        <w:rPr>
          <w:b w:val="0"/>
          <w:i/>
        </w:rPr>
        <w:t>Диагноз ишемической болезни сердца (ИБС) устанавливается на основании:</w:t>
        <w:br/>
        <w:br/>
        <w:t>1.) Совокупности жалоб (клиника стенокардии – стабильной или нестабильной),</w:t>
        <w:br/>
        <w:br/>
        <w:t>2.) Данных анамнеза (наличие факторов сердечно-сосудистого риска, приводящих к развититю атеросклероза),</w:t>
        <w:br/>
        <w:br/>
        <w:t>3.) Выявления с помощью диагностических методов обследования (нагрузочных и визуализирующих тестов) скрытой коронарной недостаточности на вероятного коронарного атеросклероза (ишемии миокарда).</w:t>
        <w:br/>
        <w:br/>
        <w:t>Признаки типичной (несомненной) стенокардии напряжения:</w:t>
        <w:br/>
        <w:br/>
        <w:t>1) боль (или дискомфорт) в области грудины, возможно, с иррадиацией в левую руку, спину или нижнюю челюсть, реже - в эпигастральную область, длительностью от 2 до 5 (менее 20) мин. Эквивалентами боли бывают: одышка, ощущение «тяжести», «жжения»;</w:t>
        <w:br/>
        <w:br/>
        <w:t>2) вышеописанная боль возникает во время физической нагрузки или выраженного психоэмоционального стресса;</w:t>
        <w:br/>
        <w:br/>
        <w:t>3) вышеописанная боль быстро исчезает после прекращения физической нагрузки или через 1–3 минуты после приема нитроглицерина.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Фоновым заболеванием у пациентки является: Гипертоническая болезнь +_____+ стадии +______+ степени,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III; 3; 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III; 2; 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II; 2; 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II; 3;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III; 2; IV</w:t>
      </w:r>
    </w:p>
    <w:p>
      <w:pPr>
        <w:ind w:left="504"/>
      </w:pPr>
      <w:r>
        <w:rPr>
          <w:b w:val="0"/>
          <w:i/>
        </w:rPr>
        <w:t>Фоновое заболевание – это заболевание, которое имеет существенное значение в возникновении и развитии основного заболевания и его осложнений.</w:t>
        <w:br/>
        <w:br/>
        <w:t>Диагноз при сердечно-сосудистых заболеваниях. Формулировка, классификации: руководство для врачей / С. Г. Горохова. - 6-е изд., перераб. и доп. - Москва: ГЭОТАР-Медиа, 2024.</w:t>
        <w:br/>
        <w:br/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Стадия III определяется наличием АКС, в том числе ХБП, и/или СД с поражением органов-мишеней. К ассоциированным клиническим состояниям относятся: ИБС: инфаркт миокарда, стенокардия, реваскуляризация миокарда</w:t>
        <w:br/>
        <w:br/>
        <w:t>АГ 2-й степени: САД 160–179 мм рт. ст., ДАД 100–109 мм рт. ст.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в качестве терапии 1-й линии следует назначить комбинацию препаратов, включающую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амлодипин и лозартан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метопролол и лизиноприл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изосорбида динитрат и небиволол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бисопролол и верапамил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метопролол и лизиноприл</w:t>
      </w:r>
    </w:p>
    <w:p>
      <w:pPr>
        <w:ind w:left="504"/>
      </w:pPr>
      <w:r>
        <w:rPr>
          <w:b w:val="0"/>
          <w:i/>
        </w:rPr>
        <w:t>При стабильной стенокардии I–II ФК и ЧСС&gt;60 уд/мин рекомендуется назначить в качестве препарата 1-й линии БАБ или недигидропиридиновые блокаторы «медленных» кальциевых каналов - не-ДГП-БКК: верапамил** или дилтиазем).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Пациентам с АГ и ИБС рекомендуется применять препараты с документально подтвержденными благоприятными эффектами при ИБС, такие как ИАПФ (БРА, если они не переносятся) и ББ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профилактики сердечно-сосудистых осложнений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комбинацию ацетилсалициловой кислоты с клопидогрелем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тикагрелор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прасугрел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ацетилсалициловую кислоту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ацетилсалициловую кислоту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в качестве ингибитора агрегации тромбоцитов рекомендуется назначение ацетилсалициловой кислоты (АСК)** в дозе 75–100 мг в сутки.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Сразу после установления диагноза, а также согласно данным лабораторного обследования, пациентке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ингибиторы ГМГ-КоА-редуктазы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 PCSK9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 омега-3 ПНЖК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Фенофибрат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ингибиторы ГМГ-КоА-редуктазы</w:t>
      </w:r>
    </w:p>
    <w:p>
      <w:pPr>
        <w:ind w:left="504"/>
      </w:pPr>
      <w:r>
        <w:rPr>
          <w:b w:val="0"/>
          <w:i/>
        </w:rPr>
        <w:t>При всех формах ИБС терапию статинами нужно начинать сразу после установления диагноза, независимо от уровней общего холестерина (ОХС) и ХС ЛНП (в отсутствие прямых противопоказаний).</w:t>
        <w:br/>
        <w:t>Все пациенты с хронической ИБС относятся к категории лиц очень высокого риска, поэтому для профилактики ССО им всем рекомендуется коррекция дислипидемии с использованием мероприятий по здоровому образу жизни и оптимальной медикаментозной терапии.</w:t>
        <w:br/>
        <w:br/>
        <w:t>Всем пациентам с ИБС рекомендована терапия статином (Ингибиторы ГМГ-КоА-редуктазы) в дозах, необходимых для достижения целевого уровня ХС ЛНП менее 1,4 ммоль/л и его снижения на 50% от исходного уровня.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Целевой уровень ХС ЛПНП у пациентки на фоне гиполипидемической терапии должен составлять менее _____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1,4</w:t>
      </w:r>
    </w:p>
    <w:p>
      <w:pPr>
        <w:ind w:left="504"/>
      </w:pPr>
      <w:r>
        <w:rPr>
          <w:b w:val="0"/>
          <w:i/>
        </w:rPr>
        <w:t>Всем пациентам с ИБС рекомендована терапия статином (Ингибиторы ГМГ-КоА-редуктазы) в дозах, необходимых для достижения целевого уровня ХС ЛНП менее 1,4 ммоль/л и его снижения на 50% от исходного уровня.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приеме бета-адреноблокатора следует стремиться к снижению ЧСС в покое до +_____+ в 1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40–50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70–80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50–60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60–70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50–60</w:t>
      </w:r>
    </w:p>
    <w:p>
      <w:pPr>
        <w:ind w:left="504"/>
      </w:pPr>
      <w:r>
        <w:rPr>
          <w:b w:val="0"/>
          <w:i/>
        </w:rPr>
        <w:t>При применении БАБ наибольшее снижение потребности миокарда в кислороде и прирост коронарного кровотока достигается при ЧСС 55—60 уд/мин.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Основой консервативного лечения стабильной ИБС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устранение немодифицируемых факторов риска сердечно-сосудистых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устранение модифицируемых факторов риска сердечно-сосудистых осложнений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раннее назначение таргетной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адекватное купирование болевого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устранение модифицируемых факторов риска сердечно-сосудистых осложнений</w:t>
      </w:r>
    </w:p>
    <w:p>
      <w:pPr>
        <w:ind w:left="504"/>
      </w:pPr>
      <w:r>
        <w:rPr>
          <w:b w:val="0"/>
          <w:i/>
        </w:rPr>
        <w:t>Основой консервативного лечения стабильной ИБС являются устранение модифицируемых факторов риска и комплексная медикаментозная терапия. Как правило, их проводят неопределенно долго.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55_24/" TargetMode="External"/><Relationship Id="rId21" Type="http://schemas.openxmlformats.org/officeDocument/2006/relationships/hyperlink" Target="https://library.mededtech.ru/rest/documents/KP155_24/#paragraph_0v07m2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KP155_24/#list_item_udpfta" TargetMode="External"/><Relationship Id="rId25" Type="http://schemas.openxmlformats.org/officeDocument/2006/relationships/hyperlink" Target="https://library.mededtech.ru/rest/documents/KP155_24/#paragraph_1qdcto" TargetMode="External"/><Relationship Id="rId26" Type="http://schemas.openxmlformats.org/officeDocument/2006/relationships/hyperlink" Target="https://library.mededtech.ru/rest/documents/KP155_24/#list_item_t26iic" TargetMode="External"/><Relationship Id="rId27" Type="http://schemas.openxmlformats.org/officeDocument/2006/relationships/hyperlink" Target="https://library.mededtech.ru/rest/documents/KP155_24/#list_item_2p39pm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KP155_24/#list_item_ike75r" TargetMode="External"/><Relationship Id="rId31" Type="http://schemas.openxmlformats.org/officeDocument/2006/relationships/hyperlink" Target="https://library.mededtech.ru/rest/documents/KP155_24/#list_item_du74n4" TargetMode="External"/><Relationship Id="rId32" Type="http://schemas.openxmlformats.org/officeDocument/2006/relationships/hyperlink" Target="https://library.mededtech.ru/rest/documents/KP155_24/#list_item_f77pd5" TargetMode="External"/><Relationship Id="rId33" Type="http://schemas.openxmlformats.org/officeDocument/2006/relationships/hyperlink" Target="https://library.mededtech.ru/rest/documents/KP155_24/#paragraph_rovr1o" TargetMode="External"/><Relationship Id="rId34" Type="http://schemas.openxmlformats.org/officeDocument/2006/relationships/hyperlink" Target="https://library.mededtech.ru/rest/documents/KP155_24/#paragraph_cndd3q" TargetMode="External"/><Relationship Id="rId35" Type="http://schemas.openxmlformats.org/officeDocument/2006/relationships/hyperlink" Target="https://library.mededtech.ru/rest/documents/KP155_24/#paragraph_sato36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ISBN9785970480632/?anchor=paragraph_vva2ab#paragraph_vva2ab" TargetMode="External"/><Relationship Id="rId38" Type="http://schemas.openxmlformats.org/officeDocument/2006/relationships/hyperlink" Target="https://library.mededtech.ru/rest/documents/KP62_24/" TargetMode="External"/><Relationship Id="rId39" Type="http://schemas.openxmlformats.org/officeDocument/2006/relationships/hyperlink" Target="https://library.mededtech.ru/rest/documents/KP62_24/#paragraph_02knai" TargetMode="External"/><Relationship Id="rId40" Type="http://schemas.openxmlformats.org/officeDocument/2006/relationships/hyperlink" Target="https://library.mededtech.ru/rest/documents/KP62_24/#tablep2" TargetMode="External"/><Relationship Id="rId41" Type="http://schemas.openxmlformats.org/officeDocument/2006/relationships/hyperlink" Target="https://library.mededtech.ru/rest/documents/KP155_24/#list_item_2ug3p5" TargetMode="External"/><Relationship Id="rId42" Type="http://schemas.openxmlformats.org/officeDocument/2006/relationships/hyperlink" Target="https://library.mededtech.ru/rest/documents/KP62_24/#list_item_nmus38" TargetMode="External"/><Relationship Id="rId43" Type="http://schemas.openxmlformats.org/officeDocument/2006/relationships/hyperlink" Target="https://library.mededtech.ru/rest/documents/KP155_24/#list_item_ik3827" TargetMode="External"/><Relationship Id="rId44" Type="http://schemas.openxmlformats.org/officeDocument/2006/relationships/hyperlink" Target="https://library.mededtech.ru/rest/documents/KP155_24/#paragraph_a11c30" TargetMode="External"/><Relationship Id="rId45" Type="http://schemas.openxmlformats.org/officeDocument/2006/relationships/hyperlink" Target="https://library.mededtech.ru/rest/documents/KP155_24/#list_item_mrogbv" TargetMode="External"/><Relationship Id="rId46" Type="http://schemas.openxmlformats.org/officeDocument/2006/relationships/hyperlink" Target="https://library.mededtech.ru/rest/documents/KP155_24/#paragraph_vmsbtn" TargetMode="External"/><Relationship Id="rId47" Type="http://schemas.openxmlformats.org/officeDocument/2006/relationships/hyperlink" Target="https://library.mededtech.ru/rest/documents/KP155_24/#paragraph_3rvm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